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0"/>
        <w:jc w:val="center"/>
      </w:pPr>
      <w:r>
        <w:drawing>
          <wp:inline xmlns:a="http://schemas.openxmlformats.org/drawingml/2006/main" xmlns:pic="http://schemas.openxmlformats.org/drawingml/2006/picture">
            <wp:extent cx="3096000" cy="30919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rzedown_logo_croppe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30919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Aptos" w:hAnsi="Aptos"/>
          <w:b/>
          <w:color w:val="058443"/>
          <w:sz w:val="24"/>
        </w:rPr>
        <w:t>FURZEDOWN SAFER NEIGHBOURHOOD PANEL</w:t>
      </w:r>
    </w:p>
    <w:p>
      <w:pPr>
        <w:spacing w:after="60"/>
        <w:jc w:val="center"/>
      </w:pPr>
      <w:r>
        <w:rPr>
          <w:rFonts w:ascii="Aptos Display" w:hAnsi="Aptos Display"/>
          <w:b/>
          <w:color w:val="062B5C"/>
          <w:sz w:val="56"/>
        </w:rPr>
        <w:t>THREE-YEAR</w:t>
        <w:br/>
        <w:t>STRATEGIC PLAN</w:t>
      </w:r>
    </w:p>
    <w:p>
      <w:pPr>
        <w:spacing w:after="200"/>
        <w:jc w:val="center"/>
      </w:pPr>
      <w:r>
        <w:rPr>
          <w:rFonts w:ascii="Aptos Display" w:hAnsi="Aptos Display"/>
          <w:b/>
          <w:color w:val="058443"/>
          <w:sz w:val="42"/>
        </w:rPr>
        <w:t>2026–2029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062B5C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6"/>
              </w:rPr>
              <w:t>SAFER.  STRONGER.  CONNECTED.</w:t>
            </w:r>
          </w:p>
        </w:tc>
      </w:tr>
    </w:tbl>
    <w:p>
      <w:pPr>
        <w:spacing w:before="280" w:after="0"/>
        <w:jc w:val="center"/>
      </w:pPr>
      <w:r>
        <w:rPr>
          <w:rFonts w:ascii="Aptos" w:hAnsi="Aptos"/>
          <w:color w:val="5A6573"/>
          <w:sz w:val="21"/>
        </w:rPr>
        <w:t>A clear framework for resident voice, partnership working,</w:t>
        <w:br/>
        <w:t>community safety and accountable local action.</w:t>
      </w:r>
    </w:p>
    <w:p>
      <w:r>
        <w:br w:type="page"/>
      </w:r>
    </w:p>
    <w:p>
      <w:pPr>
        <w:keepNext/>
        <w:spacing w:after="40"/>
      </w:pPr>
      <w:r>
        <w:rPr>
          <w:rFonts w:ascii="Aptos" w:hAnsi="Aptos"/>
          <w:b/>
          <w:color w:val="058443"/>
          <w:sz w:val="18"/>
        </w:rPr>
        <w:t>OUR DIRECTION</w:t>
      </w:r>
    </w:p>
    <w:p>
      <w:pPr>
        <w:keepNext/>
        <w:spacing w:after="100"/>
        <w:pBdr>
          <w:bottom w:val="single" w:sz="18" w:space="8" w:color="058443"/>
        </w:pBdr>
      </w:pPr>
      <w:r>
        <w:rPr>
          <w:rFonts w:ascii="Aptos Display" w:hAnsi="Aptos Display"/>
          <w:b/>
          <w:color w:val="062B5C"/>
          <w:sz w:val="44"/>
        </w:rPr>
        <w:t>Strategy at a glance</w:t>
      </w:r>
    </w:p>
    <w:p>
      <w:pPr>
        <w:spacing w:after="240"/>
      </w:pPr>
      <w:r>
        <w:rPr>
          <w:rFonts w:ascii="Aptos" w:hAnsi="Aptos"/>
          <w:color w:val="5A6573"/>
          <w:sz w:val="21"/>
        </w:rPr>
        <w:t>This plan sets out what the Panel is trying to achieve, how it will work with residents and partners, and how progress will be reviewed over the three-year period.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150" w:type="dxa"/>
              <w:start w:w="180" w:type="dxa"/>
              <w:bottom w:w="150" w:type="dxa"/>
              <w:end w:w="180" w:type="dxa"/>
            </w:tcMar>
            <w:shd w:fill="EAF6EF"/>
            <w:tcBorders>
              <w:top w:val="single" w:sz="6" w:color="D5DCE3"/>
              <w:left w:val="single" w:sz="6" w:color="D5DCE3"/>
              <w:bottom w:val="single" w:sz="6" w:color="D5DCE3"/>
              <w:right w:val="single" w:sz="6" w:color="D5DCE3"/>
            </w:tcBorders>
          </w:tcPr>
          <w:p>
            <w:pPr>
              <w:spacing w:after="80"/>
            </w:pPr>
            <w:r/>
            <w:r>
              <w:rPr>
                <w:rFonts w:ascii="Aptos" w:hAnsi="Aptos"/>
                <w:b/>
                <w:color w:val="062B5C"/>
                <w:sz w:val="21"/>
              </w:rPr>
              <w:t>OUR VISION</w:t>
            </w:r>
          </w:p>
          <w:p>
            <w:pPr>
              <w:spacing w:after="0"/>
            </w:pPr>
            <w:r>
              <w:rPr>
                <w:rFonts w:ascii="Aptos" w:hAnsi="Aptos"/>
                <w:color w:val="111827"/>
                <w:sz w:val="18"/>
              </w:rPr>
              <w:t>To make Furzedown one of the safest, strongest and most connected neighbourhoods in Wandsworth through partnership with residents, the Metropolitan Police, Wandsworth Council and local organisations.</w:t>
            </w:r>
          </w:p>
        </w:tc>
        <w:tc>
          <w:tcPr>
            <w:tcW w:type="dxa" w:w="4989"/>
            <w:tcMar>
              <w:top w:w="150" w:type="dxa"/>
              <w:start w:w="180" w:type="dxa"/>
              <w:bottom w:w="150" w:type="dxa"/>
              <w:end w:w="180" w:type="dxa"/>
            </w:tcMar>
            <w:shd w:fill="EEF4FA"/>
            <w:tcBorders>
              <w:top w:val="single" w:sz="6" w:color="D5DCE3"/>
              <w:left w:val="single" w:sz="6" w:color="D5DCE3"/>
              <w:bottom w:val="single" w:sz="6" w:color="D5DCE3"/>
              <w:right w:val="single" w:sz="6" w:color="D5DCE3"/>
            </w:tcBorders>
          </w:tcPr>
          <w:p>
            <w:pPr>
              <w:spacing w:after="80"/>
            </w:pPr>
            <w:r/>
            <w:r>
              <w:rPr>
                <w:rFonts w:ascii="Aptos" w:hAnsi="Aptos"/>
                <w:b/>
                <w:color w:val="062B5C"/>
                <w:sz w:val="21"/>
              </w:rPr>
              <w:t>OUR MISSION</w:t>
            </w:r>
          </w:p>
          <w:p>
            <w:pPr>
              <w:spacing w:after="0"/>
            </w:pPr>
            <w:r>
              <w:rPr>
                <w:rFonts w:ascii="Aptos" w:hAnsi="Aptos"/>
                <w:color w:val="111827"/>
                <w:sz w:val="18"/>
              </w:rPr>
              <w:t>To represent the voice of local residents, identify community safety priorities, strengthen partnerships and support initiatives that reduce crime, tackle anti-social behaviour and improve community confidence.</w:t>
            </w:r>
          </w:p>
        </w:tc>
      </w:tr>
    </w:tbl>
    <w:p>
      <w:pPr>
        <w:spacing w:after="0"/>
      </w:pPr>
    </w:p>
    <w:p>
      <w:pPr>
        <w:keepNext/>
        <w:spacing w:before="40" w:after="120"/>
      </w:pPr>
      <w:r>
        <w:rPr>
          <w:rFonts w:ascii="Aptos" w:hAnsi="Aptos"/>
          <w:b/>
          <w:color w:val="062B5C"/>
          <w:sz w:val="26"/>
        </w:rPr>
        <w:t>Our values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rPr>
          <w:cantSplit/>
        </w:trPr>
        <w:tc>
          <w:tcPr>
            <w:tcW w:type="dxa" w:w="2494"/>
            <w:shd w:fill="F4F6F8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Integrity</w:t>
            </w:r>
          </w:p>
        </w:tc>
        <w:tc>
          <w:tcPr>
            <w:tcW w:type="dxa" w:w="2494"/>
            <w:shd w:fill="FFFFFF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Transparency</w:t>
            </w:r>
          </w:p>
        </w:tc>
        <w:tc>
          <w:tcPr>
            <w:tcW w:type="dxa" w:w="2494"/>
            <w:shd w:fill="F4F6F8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Accountability</w:t>
            </w:r>
          </w:p>
        </w:tc>
        <w:tc>
          <w:tcPr>
            <w:tcW w:type="dxa" w:w="2494"/>
            <w:shd w:fill="FFFFFF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Respect</w:t>
            </w:r>
          </w:p>
        </w:tc>
      </w:tr>
      <w:tr>
        <w:trPr>
          <w:cantSplit/>
        </w:trPr>
        <w:tc>
          <w:tcPr>
            <w:tcW w:type="dxa" w:w="2494"/>
            <w:shd w:fill="F4F6F8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Inclusion</w:t>
            </w:r>
          </w:p>
        </w:tc>
        <w:tc>
          <w:tcPr>
            <w:tcW w:type="dxa" w:w="2494"/>
            <w:shd w:fill="FFFFFF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Partnership</w:t>
            </w:r>
          </w:p>
        </w:tc>
        <w:tc>
          <w:tcPr>
            <w:tcW w:type="dxa" w:w="2494"/>
            <w:shd w:fill="F4F6F8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Community leadership</w:t>
            </w:r>
          </w:p>
        </w:tc>
        <w:tc>
          <w:tcPr>
            <w:tcW w:type="dxa" w:w="2494"/>
            <w:shd w:fill="FFFFFF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Evidence-based decision making</w:t>
            </w:r>
          </w:p>
        </w:tc>
      </w:tr>
    </w:tbl>
    <w:p>
      <w:pPr>
        <w:keepNext/>
        <w:spacing w:before="200" w:after="120"/>
      </w:pPr>
      <w:r>
        <w:rPr>
          <w:rFonts w:ascii="Aptos" w:hAnsi="Aptos"/>
          <w:b/>
          <w:color w:val="062B5C"/>
          <w:sz w:val="26"/>
        </w:rPr>
        <w:t>Our six strategic priorities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FFFFFF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26"/>
              </w:rPr>
              <w:t xml:space="preserve">1  </w:t>
            </w:r>
            <w:r>
              <w:rPr>
                <w:rFonts w:ascii="Aptos" w:hAnsi="Aptos"/>
                <w:b/>
                <w:color w:val="062B5C"/>
                <w:sz w:val="19"/>
              </w:rPr>
              <w:t>Community engagement &amp; communication</w:t>
            </w:r>
          </w:p>
        </w:tc>
        <w:tc>
          <w:tcPr>
            <w:tcW w:type="dxa" w:w="4989"/>
            <w:shd w:fill="FFFFFF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26"/>
              </w:rPr>
              <w:t xml:space="preserve">2  </w:t>
            </w:r>
            <w:r>
              <w:rPr>
                <w:rFonts w:ascii="Aptos" w:hAnsi="Aptos"/>
                <w:b/>
                <w:color w:val="062B5C"/>
                <w:sz w:val="19"/>
              </w:rPr>
              <w:t>Crime analysis &amp; intelligence</w:t>
            </w:r>
          </w:p>
        </w:tc>
      </w:tr>
      <w:tr>
        <w:tc>
          <w:tcPr>
            <w:tcW w:type="dxa" w:w="4989"/>
            <w:shd w:fill="FFFFFF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26"/>
              </w:rPr>
              <w:t xml:space="preserve">3  </w:t>
            </w:r>
            <w:r>
              <w:rPr>
                <w:rFonts w:ascii="Aptos" w:hAnsi="Aptos"/>
                <w:b/>
                <w:color w:val="062B5C"/>
                <w:sz w:val="19"/>
              </w:rPr>
              <w:t>Partnership working</w:t>
            </w:r>
          </w:p>
        </w:tc>
        <w:tc>
          <w:tcPr>
            <w:tcW w:type="dxa" w:w="4989"/>
            <w:shd w:fill="FFFFFF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26"/>
              </w:rPr>
              <w:t xml:space="preserve">4  </w:t>
            </w:r>
            <w:r>
              <w:rPr>
                <w:rFonts w:ascii="Aptos" w:hAnsi="Aptos"/>
                <w:b/>
                <w:color w:val="062B5C"/>
                <w:sz w:val="19"/>
              </w:rPr>
              <w:t>Governance &amp; leadership</w:t>
            </w:r>
          </w:p>
        </w:tc>
      </w:tr>
      <w:tr>
        <w:tc>
          <w:tcPr>
            <w:tcW w:type="dxa" w:w="4989"/>
            <w:shd w:fill="FFFFFF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26"/>
              </w:rPr>
              <w:t xml:space="preserve">5  </w:t>
            </w:r>
            <w:r>
              <w:rPr>
                <w:rFonts w:ascii="Aptos" w:hAnsi="Aptos"/>
                <w:b/>
                <w:color w:val="062B5C"/>
                <w:sz w:val="19"/>
              </w:rPr>
              <w:t>Crime prevention</w:t>
            </w:r>
          </w:p>
        </w:tc>
        <w:tc>
          <w:tcPr>
            <w:tcW w:type="dxa" w:w="4989"/>
            <w:shd w:fill="FFFFFF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26"/>
              </w:rPr>
              <w:t xml:space="preserve">6  </w:t>
            </w:r>
            <w:r>
              <w:rPr>
                <w:rFonts w:ascii="Aptos" w:hAnsi="Aptos"/>
                <w:b/>
                <w:color w:val="062B5C"/>
                <w:sz w:val="19"/>
              </w:rPr>
              <w:t>Monitoring &amp; continuous improvement</w:t>
            </w:r>
          </w:p>
        </w:tc>
      </w:tr>
    </w:tbl>
    <w:p>
      <w:r>
        <w:br w:type="page"/>
      </w:r>
    </w:p>
    <w:p>
      <w:pPr>
        <w:keepNext/>
        <w:spacing w:after="40"/>
      </w:pPr>
      <w:r>
        <w:rPr>
          <w:rFonts w:ascii="Aptos" w:hAnsi="Aptos"/>
          <w:b/>
          <w:color w:val="058443"/>
          <w:sz w:val="18"/>
        </w:rPr>
        <w:t>STRATEGIC PRIORITIES</w:t>
      </w:r>
    </w:p>
    <w:p>
      <w:pPr>
        <w:keepNext/>
        <w:spacing w:after="100"/>
        <w:pBdr>
          <w:bottom w:val="single" w:sz="18" w:space="8" w:color="058443"/>
        </w:pBdr>
      </w:pPr>
      <w:r>
        <w:rPr>
          <w:rFonts w:ascii="Aptos Display" w:hAnsi="Aptos Display"/>
          <w:b/>
          <w:color w:val="062B5C"/>
          <w:sz w:val="44"/>
        </w:rPr>
        <w:t>1–2: Residents and local intelligence</w:t>
      </w:r>
    </w:p>
    <w:p>
      <w:pPr>
        <w:spacing w:after="240"/>
      </w:pPr>
      <w:r>
        <w:rPr>
          <w:rFonts w:ascii="Aptos" w:hAnsi="Aptos"/>
          <w:color w:val="5A6573"/>
          <w:sz w:val="21"/>
        </w:rPr>
        <w:t>The first two priorities ensure that resident voice and reliable local information are at the centre of the Panel’s 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cantSplit/>
        </w:trPr>
        <w:tc>
          <w:tcPr>
            <w:tcW w:type="dxa" w:w="4989"/>
            <w:shd w:fill="058443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34"/>
              </w:rPr>
              <w:t>1</w:t>
            </w:r>
          </w:p>
        </w:tc>
        <w:tc>
          <w:tcPr>
            <w:tcW w:type="dxa" w:w="4989"/>
            <w:shd w:fill="062B5C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28"/>
              </w:rPr>
              <w:t>Community Engagement and Communication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EF4FA"/>
            <w:tcMar>
              <w:top w:w="110" w:type="dxa"/>
              <w:start w:w="160" w:type="dxa"/>
              <w:bottom w:w="110" w:type="dxa"/>
              <w:end w:w="160" w:type="dxa"/>
            </w:tcMar>
            <w:tcBorders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18"/>
              </w:rPr>
              <w:t xml:space="preserve">AIM  </w:t>
            </w:r>
            <w:r>
              <w:rPr>
                <w:rFonts w:ascii="Aptos" w:hAnsi="Aptos"/>
                <w:color w:val="111827"/>
                <w:sz w:val="20"/>
              </w:rPr>
              <w:t>Engage residents and encourage community involvement.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4762"/>
      </w:tblGrid>
      <w:tr>
        <w:trPr>
          <w:cantSplit/>
        </w:trPr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FFFFF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WHAT WE WILL DO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Hold quarterly public SNP meetings and two committee meetings each year.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Increase resident participation and make it easier for people to have their say.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Encourage volunteering and involvement in Neighbourhood Watch.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Maintain community WhatsApp groups and use social media and community noticeboards.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Publish an annual newsletter, attend local events and conduct resident feedback surveys.</w:t>
            </w:r>
          </w:p>
        </w:tc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EAF6E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HOW WE WILL KNOW WE ARE MAKING PROGRESS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Meeting attendance increases over time.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More residents respond to surveys and consultations.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More residents volunteer or join Neighbourhood Watch activity.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Resident satisfaction and confidence in the Panel improve.</w:t>
            </w:r>
          </w:p>
        </w:tc>
      </w:tr>
    </w:tbl>
    <w:p>
      <w:pPr>
        <w:spacing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cantSplit/>
        </w:trPr>
        <w:tc>
          <w:tcPr>
            <w:tcW w:type="dxa" w:w="4989"/>
            <w:shd w:fill="058443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34"/>
              </w:rPr>
              <w:t>2</w:t>
            </w:r>
          </w:p>
        </w:tc>
        <w:tc>
          <w:tcPr>
            <w:tcW w:type="dxa" w:w="4989"/>
            <w:shd w:fill="062B5C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28"/>
              </w:rPr>
              <w:t>Crime Analysis and Intelligence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EF4FA"/>
            <w:tcMar>
              <w:top w:w="110" w:type="dxa"/>
              <w:start w:w="160" w:type="dxa"/>
              <w:bottom w:w="110" w:type="dxa"/>
              <w:end w:w="160" w:type="dxa"/>
            </w:tcMar>
            <w:tcBorders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18"/>
              </w:rPr>
              <w:t xml:space="preserve">AIM  </w:t>
            </w:r>
            <w:r>
              <w:rPr>
                <w:rFonts w:ascii="Aptos" w:hAnsi="Aptos"/>
                <w:color w:val="111827"/>
                <w:sz w:val="20"/>
              </w:rPr>
              <w:t>Build a clearer understanding of local crime trends, hotspots and emerging concerns.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4762"/>
      </w:tblGrid>
      <w:tr>
        <w:trPr>
          <w:cantSplit/>
        </w:trPr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FFFFF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WHAT WE WILL DO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Review police crime statistics and updates.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Identify hotspots, patterns and emerging issues.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Gather resident intelligence and record local concerns and repeat incidents.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Produce and circulate clear meeting minutes so actions and concerns are visible.</w:t>
            </w:r>
          </w:p>
        </w:tc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EAF6E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HOW WE WILL KNOW WE ARE MAKING PROGRESS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Hotspots and recurring issues are identified more consistently.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Residents and partners have a clearer understanding of local crime trends.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Information supports better targeted interventions and follow-up.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keepNext/>
        <w:spacing w:after="40"/>
      </w:pPr>
      <w:r>
        <w:rPr>
          <w:rFonts w:ascii="Aptos" w:hAnsi="Aptos"/>
          <w:b/>
          <w:color w:val="058443"/>
          <w:sz w:val="18"/>
        </w:rPr>
        <w:t>STRATEGIC PRIORITIES</w:t>
      </w:r>
    </w:p>
    <w:p>
      <w:pPr>
        <w:keepNext/>
        <w:spacing w:after="100"/>
        <w:pBdr>
          <w:bottom w:val="single" w:sz="18" w:space="8" w:color="058443"/>
        </w:pBdr>
      </w:pPr>
      <w:r>
        <w:rPr>
          <w:rFonts w:ascii="Aptos Display" w:hAnsi="Aptos Display"/>
          <w:b/>
          <w:color w:val="062B5C"/>
          <w:sz w:val="44"/>
        </w:rPr>
        <w:t>3–4: Partnership and good governance</w:t>
      </w:r>
    </w:p>
    <w:p>
      <w:pPr>
        <w:spacing w:after="240"/>
      </w:pPr>
      <w:r>
        <w:rPr>
          <w:rFonts w:ascii="Aptos" w:hAnsi="Aptos"/>
          <w:color w:val="5A6573"/>
          <w:sz w:val="21"/>
        </w:rPr>
        <w:t>Strong partnerships and transparent governance give the Panel the structure needed to turn resident concerns into coordinated action.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cantSplit/>
        </w:trPr>
        <w:tc>
          <w:tcPr>
            <w:tcW w:type="dxa" w:w="4989"/>
            <w:shd w:fill="058443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34"/>
              </w:rPr>
              <w:t>3</w:t>
            </w:r>
          </w:p>
        </w:tc>
        <w:tc>
          <w:tcPr>
            <w:tcW w:type="dxa" w:w="4989"/>
            <w:shd w:fill="062B5C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28"/>
              </w:rPr>
              <w:t>Partnership Working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EF4FA"/>
            <w:tcMar>
              <w:top w:w="110" w:type="dxa"/>
              <w:start w:w="160" w:type="dxa"/>
              <w:bottom w:w="110" w:type="dxa"/>
              <w:end w:w="160" w:type="dxa"/>
            </w:tcMar>
            <w:tcBorders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18"/>
              </w:rPr>
              <w:t xml:space="preserve">AIM  </w:t>
            </w:r>
            <w:r>
              <w:rPr>
                <w:rFonts w:ascii="Aptos" w:hAnsi="Aptos"/>
                <w:color w:val="111827"/>
                <w:sz w:val="20"/>
              </w:rPr>
              <w:t>Strengthen collaboration with key partners across Furzedown and Wandsworth.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4762"/>
      </w:tblGrid>
      <w:tr>
        <w:trPr>
          <w:cantSplit/>
        </w:trPr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FFFFF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WHAT WE WILL DO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Hold regular partnership discussions and maintain constructive working relationships.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Share information appropriately and raise local concerns with the right organisations.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Promote safeguarding, prevention and community resilience through joint working.</w:t>
            </w:r>
          </w:p>
          <w:p>
            <w:pPr>
              <w:spacing w:before="100" w:after="60"/>
            </w:pPr>
            <w:r>
              <w:rPr>
                <w:rFonts w:ascii="Aptos" w:hAnsi="Aptos"/>
                <w:b/>
                <w:color w:val="058443"/>
                <w:sz w:val="18"/>
              </w:rPr>
              <w:t>CORE PARTNERS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8"/>
              </w:rPr>
              <w:t>Metropolitan Police and Wandsworth Council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8"/>
              </w:rPr>
              <w:t>Local councillors, schools and Furzedown Youth Club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8"/>
              </w:rPr>
              <w:t>Churches, local businesses and resident associations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8"/>
              </w:rPr>
              <w:t>Neighbourhood Watch and community organisations</w:t>
            </w:r>
          </w:p>
        </w:tc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EAF6E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HOW WE WILL KNOW WE ARE MAKING PROGRESS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More joint initiatives are developed.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Partnership relationships are stronger and more consistent.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Local issues are escalated and responded to more quickly.</w:t>
            </w:r>
          </w:p>
        </w:tc>
      </w:tr>
    </w:tbl>
    <w:p>
      <w:pPr>
        <w:spacing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cantSplit/>
        </w:trPr>
        <w:tc>
          <w:tcPr>
            <w:tcW w:type="dxa" w:w="4989"/>
            <w:shd w:fill="058443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34"/>
              </w:rPr>
              <w:t>4</w:t>
            </w:r>
          </w:p>
        </w:tc>
        <w:tc>
          <w:tcPr>
            <w:tcW w:type="dxa" w:w="4989"/>
            <w:shd w:fill="062B5C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28"/>
              </w:rPr>
              <w:t>Governance and Leadership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EF4FA"/>
            <w:tcMar>
              <w:top w:w="110" w:type="dxa"/>
              <w:start w:w="160" w:type="dxa"/>
              <w:bottom w:w="110" w:type="dxa"/>
              <w:end w:w="160" w:type="dxa"/>
            </w:tcMar>
            <w:tcBorders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18"/>
              </w:rPr>
              <w:t xml:space="preserve">AIM  </w:t>
            </w:r>
            <w:r>
              <w:rPr>
                <w:rFonts w:ascii="Aptos" w:hAnsi="Aptos"/>
                <w:color w:val="111827"/>
                <w:sz w:val="20"/>
              </w:rPr>
              <w:t>Ensure the Panel operates effectively, transparently and with clear accountability.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4762"/>
      </w:tblGrid>
      <w:tr>
        <w:trPr>
          <w:cantSplit/>
        </w:trPr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FFFFF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WHAT WE WILL DO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Maintain clear committee roles, including Chair, Vice Chair, Secretary, Neighbourhood Watch Coordinator, Youth Representative and committee members; Treasurer where required.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Maintain the core governance documents: Constitution, Strategic Plan, Code of Conduct and meeting minutes.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Hold regular elections and keep decisions, actions and responsibilities clear.</w:t>
            </w:r>
          </w:p>
        </w:tc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EAF6E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HOW WE WILL KNOW WE ARE MAKING PROGRESS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Elections take place regularly.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Committee attendance remains strong.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Responsibilities and decisions are clear and transparent.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Agreed actions are completed and followed up.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keepNext/>
        <w:spacing w:after="40"/>
      </w:pPr>
      <w:r>
        <w:rPr>
          <w:rFonts w:ascii="Aptos" w:hAnsi="Aptos"/>
          <w:b/>
          <w:color w:val="058443"/>
          <w:sz w:val="18"/>
        </w:rPr>
        <w:t>STRATEGIC PRIORITIES</w:t>
      </w:r>
    </w:p>
    <w:p>
      <w:pPr>
        <w:keepNext/>
        <w:spacing w:after="100"/>
        <w:pBdr>
          <w:bottom w:val="single" w:sz="18" w:space="8" w:color="058443"/>
        </w:pBdr>
      </w:pPr>
      <w:r>
        <w:rPr>
          <w:rFonts w:ascii="Aptos Display" w:hAnsi="Aptos Display"/>
          <w:b/>
          <w:color w:val="062B5C"/>
          <w:sz w:val="44"/>
        </w:rPr>
        <w:t>5–6: Prevention, performance and learning</w:t>
      </w:r>
    </w:p>
    <w:p>
      <w:pPr>
        <w:spacing w:after="240"/>
      </w:pPr>
      <w:r>
        <w:rPr>
          <w:rFonts w:ascii="Aptos" w:hAnsi="Aptos"/>
          <w:color w:val="5A6573"/>
          <w:sz w:val="21"/>
        </w:rPr>
        <w:t>The Panel will focus on agreed community safety priorities while reviewing evidence and outcomes so activity can adapt when local needs change.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cantSplit/>
        </w:trPr>
        <w:tc>
          <w:tcPr>
            <w:tcW w:type="dxa" w:w="4989"/>
            <w:shd w:fill="058443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34"/>
              </w:rPr>
              <w:t>5</w:t>
            </w:r>
          </w:p>
        </w:tc>
        <w:tc>
          <w:tcPr>
            <w:tcW w:type="dxa" w:w="4989"/>
            <w:shd w:fill="062B5C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28"/>
              </w:rPr>
              <w:t>Crime Prevention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EF4FA"/>
            <w:tcMar>
              <w:top w:w="110" w:type="dxa"/>
              <w:start w:w="160" w:type="dxa"/>
              <w:bottom w:w="110" w:type="dxa"/>
              <w:end w:w="160" w:type="dxa"/>
            </w:tcMar>
            <w:tcBorders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18"/>
              </w:rPr>
              <w:t xml:space="preserve">AIM  </w:t>
            </w:r>
            <w:r>
              <w:rPr>
                <w:rFonts w:ascii="Aptos" w:hAnsi="Aptos"/>
                <w:color w:val="111827"/>
                <w:sz w:val="20"/>
              </w:rPr>
              <w:t>Support initiatives that improve community safety and respond to the priorities identified through residents, police information and partnership working.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4762"/>
      </w:tblGrid>
      <w:tr>
        <w:trPr>
          <w:cantSplit/>
        </w:trPr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FFFFF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WHAT WE WILL DO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Support proportionate crime-prevention and awareness activity.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Use resident feedback and crime information to focus attention on priority areas.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Work with partners to support targeted interventions where concerns are recurring or concentrated.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Review community safety priorities as part of the annual review.</w:t>
            </w:r>
          </w:p>
          <w:p>
            <w:pPr>
              <w:spacing w:before="100" w:after="60"/>
            </w:pPr>
            <w:r>
              <w:rPr>
                <w:rFonts w:ascii="Aptos" w:hAnsi="Aptos"/>
                <w:b/>
                <w:color w:val="058443"/>
                <w:sz w:val="18"/>
              </w:rPr>
              <w:t>CURRENT PRIORITY AREAS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8"/>
              </w:rPr>
              <w:t>Anti-social behaviour (ASB)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8"/>
              </w:rPr>
              <w:t>Violence Against Women and Girls (VAWG)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8"/>
              </w:rPr>
              <w:t>Robbery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8"/>
              </w:rPr>
              <w:t>Vehicle crime</w:t>
            </w:r>
          </w:p>
        </w:tc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EAF6E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HOW WE WILL KNOW WE ARE MAKING PROGRESS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Crime-prevention activity is focused on identified local needs.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Partners are able to target activity more effectively.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Resident concerns and priority areas are reviewed and acted on.</w:t>
            </w:r>
          </w:p>
        </w:tc>
      </w:tr>
    </w:tbl>
    <w:p>
      <w:pPr>
        <w:spacing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rPr>
          <w:cantSplit/>
        </w:trPr>
        <w:tc>
          <w:tcPr>
            <w:tcW w:type="dxa" w:w="4989"/>
            <w:shd w:fill="058443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34"/>
              </w:rPr>
              <w:t>6</w:t>
            </w:r>
          </w:p>
        </w:tc>
        <w:tc>
          <w:tcPr>
            <w:tcW w:type="dxa" w:w="4989"/>
            <w:shd w:fill="062B5C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28"/>
              </w:rPr>
              <w:t>Monitoring and Continuous Improvement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EF4FA"/>
            <w:tcMar>
              <w:top w:w="110" w:type="dxa"/>
              <w:start w:w="160" w:type="dxa"/>
              <w:bottom w:w="110" w:type="dxa"/>
              <w:end w:w="160" w:type="dxa"/>
            </w:tcMar>
            <w:tcBorders>
              <w:left w:val="single" w:sz="5" w:color="D5DCE3"/>
              <w:bottom w:val="single" w:sz="5" w:color="D5DCE3"/>
              <w:right w:val="single" w:sz="5" w:color="D5DC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058443"/>
                <w:sz w:val="18"/>
              </w:rPr>
              <w:t xml:space="preserve">AIM  </w:t>
            </w:r>
            <w:r>
              <w:rPr>
                <w:rFonts w:ascii="Aptos" w:hAnsi="Aptos"/>
                <w:color w:val="111827"/>
                <w:sz w:val="20"/>
              </w:rPr>
              <w:t>Measure progress, review performance and improve the Panel’s work over time.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4762"/>
      </w:tblGrid>
      <w:tr>
        <w:trPr>
          <w:cantSplit/>
        </w:trPr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FFFFF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WHAT WE WILL DO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Monitor crime statistics, police updates, resident concerns, communications and progress against actions.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Review achievements and priorities annually.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Publish an Annual Report and use learning to improve future activity.</w:t>
            </w:r>
          </w:p>
        </w:tc>
        <w:tc>
          <w:tcPr>
            <w:tcW w:type="dxa" w:w="4989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5" w:color="D5DCE3"/>
              <w:left w:val="single" w:sz="5" w:color="D5DCE3"/>
              <w:bottom w:val="single" w:sz="5" w:color="D5DCE3"/>
              <w:right w:val="single" w:sz="5" w:color="D5DCE3"/>
            </w:tcBorders>
            <w:shd w:fill="EAF6EF"/>
          </w:tcPr>
          <w:p>
            <w:pPr>
              <w:spacing w:after="100"/>
            </w:pPr>
            <w:r/>
            <w:r>
              <w:rPr>
                <w:rFonts w:ascii="Aptos" w:hAnsi="Aptos"/>
                <w:b/>
                <w:color w:val="062B5C"/>
                <w:sz w:val="19"/>
              </w:rPr>
              <w:t>HOW WE WILL KNOW WE ARE MAKING PROGRESS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Objectives are tracked and reviewed.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Resident feedback is positive and informs improvement.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Actions are followed through and lessons are carried into the next year.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Priorities remain responsive to local evidence and community concerns.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keepNext/>
        <w:spacing w:after="40"/>
      </w:pPr>
      <w:r>
        <w:rPr>
          <w:rFonts w:ascii="Aptos" w:hAnsi="Aptos"/>
          <w:b/>
          <w:color w:val="058443"/>
          <w:sz w:val="18"/>
        </w:rPr>
        <w:t>PERFORMANCE</w:t>
      </w:r>
    </w:p>
    <w:p>
      <w:pPr>
        <w:keepNext/>
        <w:spacing w:after="100"/>
        <w:pBdr>
          <w:bottom w:val="single" w:sz="18" w:space="8" w:color="058443"/>
        </w:pBdr>
      </w:pPr>
      <w:r>
        <w:rPr>
          <w:rFonts w:ascii="Aptos Display" w:hAnsi="Aptos Display"/>
          <w:b/>
          <w:color w:val="062B5C"/>
          <w:sz w:val="44"/>
        </w:rPr>
        <w:t>How we will measure progress</w:t>
      </w:r>
    </w:p>
    <w:p>
      <w:pPr>
        <w:spacing w:after="240"/>
      </w:pPr>
      <w:r>
        <w:rPr>
          <w:rFonts w:ascii="Aptos" w:hAnsi="Aptos"/>
          <w:color w:val="5A6573"/>
          <w:sz w:val="21"/>
        </w:rPr>
        <w:t>The Panel will use a small, practical set of indicators to understand whether engagement, partnership activity, governance and community safety work are improving. Measures should be considered alongside qualitative feedback from residents and partners.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5556"/>
        <w:gridCol w:w="2154"/>
      </w:tblGrid>
      <w:tr>
        <w:trPr>
          <w:tblHeader w:val="true"/>
        </w:trPr>
        <w:tc>
          <w:tcPr>
            <w:tcW w:type="dxa" w:w="3326"/>
            <w:shd w:fill="062B5C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062B5C"/>
              <w:left w:val="single" w:sz="4" w:color="062B5C"/>
              <w:bottom w:val="single" w:sz="4" w:color="062B5C"/>
              <w:right w:val="single" w:sz="4" w:color="062B5C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19"/>
              </w:rPr>
              <w:t>Area</w:t>
            </w:r>
          </w:p>
        </w:tc>
        <w:tc>
          <w:tcPr>
            <w:tcW w:type="dxa" w:w="3326"/>
            <w:shd w:fill="062B5C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062B5C"/>
              <w:left w:val="single" w:sz="4" w:color="062B5C"/>
              <w:bottom w:val="single" w:sz="4" w:color="062B5C"/>
              <w:right w:val="single" w:sz="4" w:color="062B5C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19"/>
              </w:rPr>
              <w:t>What we will monitor</w:t>
            </w:r>
          </w:p>
        </w:tc>
        <w:tc>
          <w:tcPr>
            <w:tcW w:type="dxa" w:w="3326"/>
            <w:shd w:fill="062B5C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062B5C"/>
              <w:left w:val="single" w:sz="4" w:color="062B5C"/>
              <w:bottom w:val="single" w:sz="4" w:color="062B5C"/>
              <w:right w:val="single" w:sz="4" w:color="062B5C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19"/>
              </w:rPr>
              <w:t>Review point</w:t>
            </w:r>
          </w:p>
        </w:tc>
      </w:tr>
      <w:tr>
        <w:trPr>
          <w:cantSplit/>
        </w:trPr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062B5C"/>
                <w:sz w:val="18"/>
              </w:rPr>
              <w:t>Resident engagement</w:t>
            </w:r>
          </w:p>
        </w:tc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Public meeting attendance; survey participation; resident feedback</w:t>
            </w:r>
          </w:p>
        </w:tc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Quarterly / annual review</w:t>
            </w:r>
          </w:p>
        </w:tc>
      </w:tr>
      <w:tr>
        <w:trPr>
          <w:cantSplit/>
        </w:trPr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062B5C"/>
                <w:sz w:val="18"/>
              </w:rPr>
              <w:t>Communication</w:t>
            </w:r>
          </w:p>
        </w:tc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Newsletter distribution and reach; use of community communication channels</w:t>
            </w:r>
          </w:p>
        </w:tc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Annual review</w:t>
            </w:r>
          </w:p>
        </w:tc>
      </w:tr>
      <w:tr>
        <w:trPr>
          <w:cantSplit/>
        </w:trPr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062B5C"/>
                <w:sz w:val="18"/>
              </w:rPr>
              <w:t>Community involvement</w:t>
            </w:r>
          </w:p>
        </w:tc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Volunteering and Neighbourhood Watch participation</w:t>
            </w:r>
          </w:p>
        </w:tc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Annual review</w:t>
            </w:r>
          </w:p>
        </w:tc>
      </w:tr>
      <w:tr>
        <w:trPr>
          <w:cantSplit/>
        </w:trPr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062B5C"/>
                <w:sz w:val="18"/>
              </w:rPr>
              <w:t>Community safety</w:t>
            </w:r>
          </w:p>
        </w:tc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Trends and concerns relating to ASB, VAWG, robbery and vehicle crime; other emerging local issues</w:t>
            </w:r>
          </w:p>
        </w:tc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At public meetings / annual review</w:t>
            </w:r>
          </w:p>
        </w:tc>
      </w:tr>
      <w:tr>
        <w:trPr>
          <w:cantSplit/>
        </w:trPr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062B5C"/>
                <w:sz w:val="18"/>
              </w:rPr>
              <w:t>Partnership working</w:t>
            </w:r>
          </w:p>
        </w:tc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Joint activity, partner engagement and follow-up on local issues</w:t>
            </w:r>
          </w:p>
        </w:tc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Quarterly / annual review</w:t>
            </w:r>
          </w:p>
        </w:tc>
      </w:tr>
      <w:tr>
        <w:trPr>
          <w:cantSplit/>
        </w:trPr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062B5C"/>
                <w:sz w:val="18"/>
              </w:rPr>
              <w:t>Governance</w:t>
            </w:r>
          </w:p>
        </w:tc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Committee attendance, elections, completed actions and clear records of decisions</w:t>
            </w:r>
          </w:p>
        </w:tc>
        <w:tc>
          <w:tcPr>
            <w:tcW w:type="dxa" w:w="3326"/>
            <w:shd w:fill="F4F6F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Committee review / annual review</w:t>
            </w:r>
          </w:p>
        </w:tc>
      </w:tr>
      <w:tr>
        <w:trPr>
          <w:cantSplit/>
        </w:trPr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062B5C"/>
                <w:sz w:val="18"/>
              </w:rPr>
              <w:t>Resident confidence</w:t>
            </w:r>
          </w:p>
        </w:tc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Resident satisfaction and confidence in local community safety arrangements</w:t>
            </w:r>
          </w:p>
        </w:tc>
        <w:tc>
          <w:tcPr>
            <w:tcW w:type="dxa" w:w="3326"/>
            <w:shd w:fill="FFFFFF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11827"/>
                <w:sz w:val="18"/>
              </w:rPr>
              <w:t>Annual survey / feedback</w:t>
            </w:r>
          </w:p>
        </w:tc>
      </w:tr>
    </w:tbl>
    <w:p>
      <w:pPr>
        <w:keepNext/>
        <w:spacing w:before="240" w:after="120"/>
      </w:pPr>
      <w:r>
        <w:rPr>
          <w:rFonts w:ascii="Aptos" w:hAnsi="Aptos"/>
          <w:b/>
          <w:color w:val="062B5C"/>
          <w:sz w:val="26"/>
        </w:rPr>
        <w:t>Annual review cycle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150" w:type="dxa"/>
              <w:start w:w="180" w:type="dxa"/>
              <w:bottom w:w="150" w:type="dxa"/>
              <w:end w:w="180" w:type="dxa"/>
            </w:tcMar>
            <w:shd w:fill="EAF6EF"/>
            <w:tcBorders>
              <w:top w:val="single" w:sz="6" w:color="D5DCE3"/>
              <w:left w:val="single" w:sz="6" w:color="D5DCE3"/>
              <w:bottom w:val="single" w:sz="6" w:color="D5DCE3"/>
              <w:right w:val="single" w:sz="6" w:color="D5DCE3"/>
            </w:tcBorders>
          </w:tcPr>
          <w:p>
            <w:pPr>
              <w:spacing w:after="80"/>
            </w:pPr>
            <w:r/>
            <w:r>
              <w:rPr>
                <w:rFonts w:ascii="Aptos" w:hAnsi="Aptos"/>
                <w:b/>
                <w:color w:val="062B5C"/>
                <w:sz w:val="21"/>
              </w:rPr>
              <w:t>1. LISTEN</w:t>
            </w:r>
          </w:p>
          <w:p>
            <w:pPr>
              <w:spacing w:after="0"/>
            </w:pPr>
            <w:r>
              <w:rPr>
                <w:rFonts w:ascii="Aptos" w:hAnsi="Aptos"/>
                <w:color w:val="111827"/>
                <w:sz w:val="18"/>
              </w:rPr>
              <w:t>Gather resident concerns, survey feedback and local intelligence.</w:t>
            </w:r>
          </w:p>
        </w:tc>
        <w:tc>
          <w:tcPr>
            <w:tcW w:type="dxa" w:w="4989"/>
            <w:tcMar>
              <w:top w:w="150" w:type="dxa"/>
              <w:start w:w="180" w:type="dxa"/>
              <w:bottom w:w="150" w:type="dxa"/>
              <w:end w:w="180" w:type="dxa"/>
            </w:tcMar>
            <w:shd w:fill="EEF4FA"/>
            <w:tcBorders>
              <w:top w:val="single" w:sz="6" w:color="D5DCE3"/>
              <w:left w:val="single" w:sz="6" w:color="D5DCE3"/>
              <w:bottom w:val="single" w:sz="6" w:color="D5DCE3"/>
              <w:right w:val="single" w:sz="6" w:color="D5DCE3"/>
            </w:tcBorders>
          </w:tcPr>
          <w:p>
            <w:pPr>
              <w:spacing w:after="80"/>
            </w:pPr>
            <w:r/>
            <w:r>
              <w:rPr>
                <w:rFonts w:ascii="Aptos" w:hAnsi="Aptos"/>
                <w:b/>
                <w:color w:val="062B5C"/>
                <w:sz w:val="21"/>
              </w:rPr>
              <w:t>2. REVIEW</w:t>
            </w:r>
          </w:p>
          <w:p>
            <w:pPr>
              <w:spacing w:after="0"/>
            </w:pPr>
            <w:r>
              <w:rPr>
                <w:rFonts w:ascii="Aptos" w:hAnsi="Aptos"/>
                <w:color w:val="111827"/>
                <w:sz w:val="18"/>
              </w:rPr>
              <w:t>Consider crime data, police updates, partnership information and action progress.</w:t>
            </w:r>
          </w:p>
        </w:tc>
      </w:tr>
      <w:tr>
        <w:trPr>
          <w:cantSplit/>
        </w:trPr>
        <w:tc>
          <w:tcPr>
            <w:tcW w:type="dxa" w:w="4989"/>
            <w:tcMar>
              <w:top w:w="150" w:type="dxa"/>
              <w:start w:w="180" w:type="dxa"/>
              <w:bottom w:w="150" w:type="dxa"/>
              <w:end w:w="180" w:type="dxa"/>
            </w:tcMar>
            <w:shd w:fill="EAF6EF"/>
            <w:tcBorders>
              <w:top w:val="single" w:sz="6" w:color="D5DCE3"/>
              <w:left w:val="single" w:sz="6" w:color="D5DCE3"/>
              <w:bottom w:val="single" w:sz="6" w:color="D5DCE3"/>
              <w:right w:val="single" w:sz="6" w:color="D5DCE3"/>
            </w:tcBorders>
          </w:tcPr>
          <w:p>
            <w:pPr>
              <w:spacing w:after="80"/>
            </w:pPr>
            <w:r/>
            <w:r>
              <w:rPr>
                <w:rFonts w:ascii="Aptos" w:hAnsi="Aptos"/>
                <w:b/>
                <w:color w:val="062B5C"/>
                <w:sz w:val="21"/>
              </w:rPr>
              <w:t>3. PRIORITISE</w:t>
            </w:r>
          </w:p>
          <w:p>
            <w:pPr>
              <w:spacing w:after="0"/>
            </w:pPr>
            <w:r>
              <w:rPr>
                <w:rFonts w:ascii="Aptos" w:hAnsi="Aptos"/>
                <w:color w:val="111827"/>
                <w:sz w:val="18"/>
              </w:rPr>
              <w:t>Confirm or refresh community safety priorities and agree the next actions.</w:t>
            </w:r>
          </w:p>
        </w:tc>
        <w:tc>
          <w:tcPr>
            <w:tcW w:type="dxa" w:w="4989"/>
            <w:tcMar>
              <w:top w:w="150" w:type="dxa"/>
              <w:start w:w="180" w:type="dxa"/>
              <w:bottom w:w="150" w:type="dxa"/>
              <w:end w:w="180" w:type="dxa"/>
            </w:tcMar>
            <w:shd w:fill="EEF4FA"/>
            <w:tcBorders>
              <w:top w:val="single" w:sz="6" w:color="D5DCE3"/>
              <w:left w:val="single" w:sz="6" w:color="D5DCE3"/>
              <w:bottom w:val="single" w:sz="6" w:color="D5DCE3"/>
              <w:right w:val="single" w:sz="6" w:color="D5DCE3"/>
            </w:tcBorders>
          </w:tcPr>
          <w:p>
            <w:pPr>
              <w:spacing w:after="80"/>
            </w:pPr>
            <w:r/>
            <w:r>
              <w:rPr>
                <w:rFonts w:ascii="Aptos" w:hAnsi="Aptos"/>
                <w:b/>
                <w:color w:val="062B5C"/>
                <w:sz w:val="21"/>
              </w:rPr>
              <w:t>4. REPORT</w:t>
            </w:r>
          </w:p>
          <w:p>
            <w:pPr>
              <w:spacing w:after="0"/>
            </w:pPr>
            <w:r>
              <w:rPr>
                <w:rFonts w:ascii="Aptos" w:hAnsi="Aptos"/>
                <w:color w:val="111827"/>
                <w:sz w:val="18"/>
              </w:rPr>
              <w:t>Publish progress, record decisions and share an annual summary with residents.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after="40"/>
      </w:pPr>
      <w:r>
        <w:rPr>
          <w:rFonts w:ascii="Aptos" w:hAnsi="Aptos"/>
          <w:b/>
          <w:color w:val="058443"/>
          <w:sz w:val="18"/>
        </w:rPr>
        <w:t>DELIVERY ROADMAP</w:t>
      </w:r>
    </w:p>
    <w:p>
      <w:pPr>
        <w:keepNext/>
        <w:spacing w:after="100"/>
        <w:pBdr>
          <w:bottom w:val="single" w:sz="18" w:space="8" w:color="058443"/>
        </w:pBdr>
      </w:pPr>
      <w:r>
        <w:rPr>
          <w:rFonts w:ascii="Aptos Display" w:hAnsi="Aptos Display"/>
          <w:b/>
          <w:color w:val="062B5C"/>
          <w:sz w:val="44"/>
        </w:rPr>
        <w:t>Three-year delivery plan</w:t>
      </w:r>
    </w:p>
    <w:p>
      <w:pPr>
        <w:spacing w:after="240"/>
      </w:pPr>
      <w:r>
        <w:rPr>
          <w:rFonts w:ascii="Aptos" w:hAnsi="Aptos"/>
          <w:color w:val="5A6573"/>
          <w:sz w:val="21"/>
        </w:rPr>
        <w:t>The roadmap gives each year a clear purpose. It is designed to build strong foundations first, then expand delivery, and finally review impact and prepare the next strategy.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7143"/>
      </w:tblGrid>
      <w:tr>
        <w:trPr>
          <w:cantSplit/>
        </w:trPr>
        <w:tc>
          <w:tcPr>
            <w:tcW w:type="dxa" w:w="4989"/>
            <w:shd w:fill="058443"/>
            <w:tcBorders>
              <w:top w:val="single" w:sz="4" w:color="058443"/>
              <w:left w:val="single" w:sz="4" w:color="058443"/>
              <w:bottom w:val="single" w:sz="4" w:color="058443"/>
              <w:right w:val="single" w:sz="4" w:color="058443"/>
            </w:tcBorders>
          </w:tcPr>
          <w:p>
            <w:pPr>
              <w:spacing w:after="8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YEAR ONE  |  2026–2027</w:t>
            </w:r>
          </w:p>
          <w:p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28"/>
              </w:rPr>
              <w:t>BUILD STRONG FOUNDATIONS</w:t>
            </w:r>
          </w:p>
        </w:tc>
        <w:tc>
          <w:tcPr>
            <w:tcW w:type="dxa" w:w="4989"/>
            <w:shd w:fill="EAF6EF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</w:pPr>
            <w:r/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Strengthen governance and clarify committee roles.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Recruit and retain committee members.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Improve resident engagement and meeting participation.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Launch an annual resident survey.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Publish the Panel newsletter.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7143"/>
      </w:tblGrid>
      <w:tr>
        <w:trPr>
          <w:cantSplit/>
        </w:trPr>
        <w:tc>
          <w:tcPr>
            <w:tcW w:type="dxa" w:w="4989"/>
            <w:shd w:fill="062B5C"/>
            <w:tcBorders>
              <w:top w:val="single" w:sz="4" w:color="062B5C"/>
              <w:left w:val="single" w:sz="4" w:color="062B5C"/>
              <w:bottom w:val="single" w:sz="4" w:color="062B5C"/>
              <w:right w:val="single" w:sz="4" w:color="062B5C"/>
            </w:tcBorders>
          </w:tcPr>
          <w:p>
            <w:pPr>
              <w:spacing w:after="8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YEAR TWO  |  2027–2028</w:t>
            </w:r>
          </w:p>
          <w:p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28"/>
              </w:rPr>
              <w:t>DELIVER AND GROW</w:t>
            </w:r>
          </w:p>
        </w:tc>
        <w:tc>
          <w:tcPr>
            <w:tcW w:type="dxa" w:w="4989"/>
            <w:shd w:fill="EEF4FA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</w:pPr>
            <w:r/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Expand Neighbourhood Watch involvement.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Deliver crime-prevention campaigns.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Increase youth engagement.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Strengthen partnerships with schools and community organisations.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Review Year One progress and adjust delivery where needed.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7143"/>
      </w:tblGrid>
      <w:tr>
        <w:trPr>
          <w:cantSplit/>
        </w:trPr>
        <w:tc>
          <w:tcPr>
            <w:tcW w:type="dxa" w:w="4989"/>
            <w:shd w:fill="058443"/>
            <w:tcBorders>
              <w:top w:val="single" w:sz="4" w:color="058443"/>
              <w:left w:val="single" w:sz="4" w:color="058443"/>
              <w:bottom w:val="single" w:sz="4" w:color="058443"/>
              <w:right w:val="single" w:sz="4" w:color="058443"/>
            </w:tcBorders>
          </w:tcPr>
          <w:p>
            <w:pPr>
              <w:spacing w:after="8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YEAR THREE  |  2028–2029</w:t>
            </w:r>
          </w:p>
          <w:p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28"/>
              </w:rPr>
              <w:t>REVIEW AND SUSTAIN</w:t>
            </w:r>
          </w:p>
        </w:tc>
        <w:tc>
          <w:tcPr>
            <w:tcW w:type="dxa" w:w="4989"/>
            <w:shd w:fill="EAF6EF"/>
            <w:tcBorders>
              <w:top w:val="single" w:sz="4" w:color="D5DCE3"/>
              <w:left w:val="single" w:sz="4" w:color="D5DCE3"/>
              <w:bottom w:val="single" w:sz="4" w:color="D5DCE3"/>
              <w:right w:val="single" w:sz="4" w:color="D5DCE3"/>
            </w:tcBorders>
          </w:tcPr>
          <w:p>
            <w:pPr>
              <w:spacing w:after="0"/>
            </w:pPr>
            <w:r/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Review the Strategic Plan and measure outcomes.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Refresh community priorities using evidence and resident feedback.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Publish a three-year impact report.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Identify what should be sustained or improved.</w:t>
            </w:r>
          </w:p>
          <w:p>
            <w:pPr>
              <w:pStyle w:val="ListBullet"/>
              <w:spacing w:after="20"/>
              <w:ind w:left="255" w:hanging="125"/>
            </w:pPr>
            <w:r>
              <w:rPr>
                <w:rFonts w:ascii="Aptos" w:hAnsi="Aptos"/>
                <w:color w:val="111827"/>
                <w:sz w:val="19"/>
              </w:rPr>
              <w:t>Develop the 2029–2032 Strategic Plan.</w:t>
            </w:r>
          </w:p>
        </w:tc>
      </w:tr>
    </w:tbl>
    <w:p>
      <w:pPr>
        <w:spacing w:after="80"/>
      </w:pPr>
    </w:p>
    <w:p>
      <w:pPr>
        <w:keepNext/>
        <w:spacing w:before="140" w:after="80"/>
      </w:pPr>
      <w:r>
        <w:rPr>
          <w:rFonts w:ascii="Aptos" w:hAnsi="Aptos"/>
          <w:b/>
          <w:color w:val="062B5C"/>
          <w:sz w:val="26"/>
        </w:rPr>
        <w:t>Our commitment</w:t>
      </w:r>
    </w:p>
    <w:p>
      <w:pPr>
        <w:spacing w:after="100"/>
        <w:pBdr>
          <w:left w:val="single" w:sz="20" w:space="8" w:color="058443"/>
        </w:pBdr>
      </w:pPr>
      <w:r>
        <w:rPr>
          <w:rFonts w:ascii="Aptos" w:hAnsi="Aptos"/>
          <w:color w:val="111827"/>
          <w:sz w:val="20"/>
        </w:rPr>
        <w:t>This strategy provides a clear framework for improving community safety through strong governance, effective partnerships, resident engagement and evidence-based action. The Panel will review progress each year, remain responsive to changing local concerns and keep residents informed about what has been achieved and what needs further attention.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07" w:right="964" w:bottom="850" w:left="96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6573"/>
        <w:sz w:val="16"/>
      </w:rPr>
      <w:t xml:space="preserve">Furzedown SNP  •  2026–2029  •  Page </w:t>
    </w: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  <w:pBdr>
        <w:bottom w:val="single" w:sz="12" w:space="5" w:color="058443"/>
      </w:pBdr>
    </w:pPr>
    <w:r>
      <w:rPr>
        <w:rFonts w:ascii="Aptos" w:hAnsi="Aptos"/>
        <w:b/>
        <w:color w:val="062B5C"/>
        <w:sz w:val="16"/>
      </w:rPr>
      <w:t>FURZEDOWN SAFER NEIGHBOURHOOD PANEL  |  STRATEGIC PLAN 2026–2029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118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62B5C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62B5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05844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062B5C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ptos" w:hAnsi="Aptos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Furzedown Safer Neighbourhood Panel Three-Year Strategic Plan 2026–2029</dc:title>
  <dc:subject>Strategic Plan</dc:subject>
  <dc:creator>Furzedown Safer Neighbourhood Panel</dc:creator>
  <cp:keywords>Furzedown, Safer Neighbourhood Panel, strategic plan, community safety, Wandsworth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